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8" w:rsidRPr="00F04E6A" w:rsidRDefault="00EA0FF8" w:rsidP="00EA0FF8">
      <w:pPr>
        <w:rPr>
          <w:rFonts w:ascii="Times New Roman" w:hAnsi="Times New Roman" w:cs="Times New Roman"/>
        </w:rPr>
      </w:pPr>
      <w:bookmarkStart w:id="0" w:name="_GoBack"/>
      <w:bookmarkEnd w:id="0"/>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например :убийство,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признании недееспособным;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несовершеннолетнего, а также обучением, Поскольку, зачастую в 16 лет у несовершеннолетнего имеется среднее общее образование (9 классов), </w:t>
      </w:r>
      <w:r w:rsidRPr="006E62B8">
        <w:rPr>
          <w:rFonts w:ascii="Times New Roman" w:hAnsi="Times New Roman" w:cs="Times New Roman"/>
          <w:sz w:val="24"/>
          <w:szCs w:val="24"/>
        </w:rPr>
        <w:lastRenderedPageBreak/>
        <w:t>в то время 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5. Со скольки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w:t>
      </w:r>
      <w:r w:rsidRPr="006E62B8">
        <w:rPr>
          <w:rFonts w:ascii="Times New Roman" w:hAnsi="Times New Roman" w:cs="Times New Roman"/>
          <w:sz w:val="24"/>
          <w:szCs w:val="24"/>
        </w:rPr>
        <w:lastRenderedPageBreak/>
        <w:t>злоупотреблении родительскими правами, незаконное расходование имущества ребенка). 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Общественную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Потребляющие наркотические средства или психотропные вещества без назначения врача либо новые потенциально опасные психоактивные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Употребляющие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Совершившие правонарушение, в том числе до достижения возраста, с которого наступает административная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Совершившие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58F7"/>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65C30-A7FC-4BE6-ABE9-71C4D90E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2249</Words>
  <Characters>12824</Characters>
  <Application>Microsoft Office Word</Application>
  <DocSecurity>4</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Никашина Надежда Александровна</cp:lastModifiedBy>
  <cp:revision>2</cp:revision>
  <dcterms:created xsi:type="dcterms:W3CDTF">2020-09-24T09:19:00Z</dcterms:created>
  <dcterms:modified xsi:type="dcterms:W3CDTF">2020-09-24T09:19:00Z</dcterms:modified>
</cp:coreProperties>
</file>